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2E6" w:rsidRPr="006C62E6" w:rsidRDefault="006C62E6" w:rsidP="006C62E6">
      <w:pPr>
        <w:ind w:left="2160" w:firstLine="720"/>
        <w:rPr>
          <w:rFonts w:ascii="Aurora BdCn BT" w:hAnsi="Aurora BdCn BT"/>
          <w:sz w:val="28"/>
        </w:rPr>
      </w:pPr>
      <w:r w:rsidRPr="006C62E6">
        <w:rPr>
          <w:rFonts w:ascii="Aurora BdCn BT" w:hAnsi="Aurora BdCn BT"/>
          <w:sz w:val="28"/>
        </w:rPr>
        <w:t xml:space="preserve">Chapter </w:t>
      </w:r>
      <w:r w:rsidRPr="006C62E6">
        <w:rPr>
          <w:rFonts w:ascii="Aurora BdCn BT" w:hAnsi="Aurora BdCn BT"/>
          <w:emboss/>
          <w:color w:val="FFFFFF"/>
          <w:sz w:val="28"/>
        </w:rPr>
        <w:t>5</w:t>
      </w:r>
      <w:r w:rsidRPr="006C62E6">
        <w:rPr>
          <w:rFonts w:ascii="Aurora BdCn BT" w:hAnsi="Aurora BdCn BT"/>
          <w:sz w:val="28"/>
        </w:rPr>
        <w:t>:</w:t>
      </w:r>
    </w:p>
    <w:p w:rsidR="006C62E6" w:rsidRPr="009725CA" w:rsidRDefault="006C62E6" w:rsidP="006C62E6">
      <w:pPr>
        <w:rPr>
          <w:rFonts w:ascii="Aurora BdCn BT" w:hAnsi="Aurora BdCn BT"/>
          <w:sz w:val="32"/>
        </w:rPr>
      </w:pPr>
      <w:r w:rsidRPr="006C62E6">
        <w:rPr>
          <w:rFonts w:ascii="Aurora BdCn BT" w:hAnsi="Aurora BdCn BT"/>
          <w:sz w:val="28"/>
        </w:rPr>
        <w:t xml:space="preserve"> </w:t>
      </w:r>
      <w:r w:rsidRPr="006C62E6">
        <w:rPr>
          <w:rFonts w:ascii="Aurora BdCn BT" w:hAnsi="Aurora BdCn BT"/>
          <w:sz w:val="28"/>
        </w:rPr>
        <w:tab/>
      </w:r>
      <w:r w:rsidRPr="006C62E6">
        <w:rPr>
          <w:rFonts w:ascii="Aurora BdCn BT" w:hAnsi="Aurora BdCn BT"/>
          <w:sz w:val="28"/>
        </w:rPr>
        <w:tab/>
      </w:r>
      <w:r w:rsidRPr="006C62E6">
        <w:rPr>
          <w:rFonts w:ascii="Aurora BdCn BT" w:hAnsi="Aurora BdCn BT"/>
          <w:sz w:val="28"/>
        </w:rPr>
        <w:tab/>
      </w:r>
      <w:r w:rsidRPr="009725CA">
        <w:rPr>
          <w:rFonts w:ascii="Aurora BdCn BT" w:hAnsi="Aurora BdCn BT"/>
          <w:sz w:val="32"/>
        </w:rPr>
        <w:t>Text</w:t>
      </w:r>
      <w:r w:rsidRPr="006C62E6">
        <w:rPr>
          <w:rFonts w:ascii="Aurora BdCn BT" w:hAnsi="Aurora BdCn BT"/>
          <w:sz w:val="28"/>
        </w:rPr>
        <w:t xml:space="preserve"> Matters: A </w:t>
      </w:r>
      <w:r w:rsidRPr="009725CA">
        <w:rPr>
          <w:rFonts w:ascii="Aurora BdCn BT" w:hAnsi="Aurora BdCn BT"/>
          <w:sz w:val="36"/>
        </w:rPr>
        <w:t>Choice</w:t>
      </w:r>
      <w:r w:rsidRPr="006C62E6">
        <w:rPr>
          <w:rFonts w:ascii="Aurora BdCn BT" w:hAnsi="Aurora BdCn BT"/>
          <w:sz w:val="28"/>
        </w:rPr>
        <w:t xml:space="preserve"> Makes a </w:t>
      </w:r>
      <w:r w:rsidRPr="009725CA">
        <w:rPr>
          <w:rFonts w:ascii="Aurora BdCn BT" w:hAnsi="Aurora BdCn BT"/>
          <w:sz w:val="32"/>
        </w:rPr>
        <w:t>Difference</w:t>
      </w:r>
    </w:p>
    <w:p w:rsidR="006C62E6" w:rsidRPr="00B51ABE" w:rsidRDefault="006C62E6" w:rsidP="006C62E6">
      <w:pPr>
        <w:spacing w:line="276" w:lineRule="auto"/>
        <w:jc w:val="both"/>
        <w:rPr>
          <w:rFonts w:asciiTheme="minorHAnsi" w:hAnsiTheme="minorHAnsi"/>
        </w:rPr>
      </w:pPr>
    </w:p>
    <w:tbl>
      <w:tblPr>
        <w:tblStyle w:val="TableGrid"/>
        <w:tblW w:w="0" w:type="auto"/>
        <w:tblLook w:val="04A0"/>
      </w:tblPr>
      <w:tblGrid>
        <w:gridCol w:w="918"/>
        <w:gridCol w:w="4050"/>
        <w:gridCol w:w="4608"/>
      </w:tblGrid>
      <w:tr w:rsidR="006C62E6" w:rsidRPr="00B51ABE" w:rsidTr="003040E1">
        <w:tc>
          <w:tcPr>
            <w:tcW w:w="918" w:type="dxa"/>
          </w:tcPr>
          <w:p w:rsidR="006C62E6" w:rsidRPr="00B51ABE" w:rsidRDefault="006C62E6" w:rsidP="003040E1">
            <w:pPr>
              <w:jc w:val="center"/>
              <w:rPr>
                <w:rFonts w:asciiTheme="minorHAnsi" w:hAnsiTheme="minorHAnsi"/>
                <w:b/>
                <w:i/>
              </w:rPr>
            </w:pPr>
            <w:r>
              <w:rPr>
                <w:rFonts w:asciiTheme="minorHAnsi" w:hAnsiTheme="minorHAnsi"/>
                <w:b/>
                <w:i/>
              </w:rPr>
              <w:t>Page</w:t>
            </w:r>
          </w:p>
        </w:tc>
        <w:tc>
          <w:tcPr>
            <w:tcW w:w="4050" w:type="dxa"/>
          </w:tcPr>
          <w:p w:rsidR="006C62E6" w:rsidRPr="00B51ABE" w:rsidRDefault="006C62E6" w:rsidP="003040E1">
            <w:pPr>
              <w:jc w:val="center"/>
              <w:rPr>
                <w:rFonts w:asciiTheme="minorHAnsi" w:hAnsiTheme="minorHAnsi"/>
                <w:b/>
                <w:i/>
              </w:rPr>
            </w:pPr>
            <w:r w:rsidRPr="00B51ABE">
              <w:rPr>
                <w:rFonts w:asciiTheme="minorHAnsi" w:hAnsiTheme="minorHAnsi"/>
                <w:b/>
                <w:i/>
              </w:rPr>
              <w:t>Interesting Section of the Chapter</w:t>
            </w:r>
          </w:p>
        </w:tc>
        <w:tc>
          <w:tcPr>
            <w:tcW w:w="4608" w:type="dxa"/>
          </w:tcPr>
          <w:p w:rsidR="006C62E6" w:rsidRPr="00B51ABE" w:rsidRDefault="006C62E6" w:rsidP="003040E1">
            <w:pPr>
              <w:jc w:val="center"/>
              <w:rPr>
                <w:rFonts w:asciiTheme="minorHAnsi" w:hAnsiTheme="minorHAnsi"/>
                <w:b/>
                <w:i/>
              </w:rPr>
            </w:pPr>
            <w:r w:rsidRPr="00B51ABE">
              <w:rPr>
                <w:rFonts w:asciiTheme="minorHAnsi" w:hAnsiTheme="minorHAnsi"/>
                <w:b/>
                <w:i/>
              </w:rPr>
              <w:t>My Thoughts, Comments &amp; Questions /</w:t>
            </w:r>
          </w:p>
          <w:p w:rsidR="006C62E6" w:rsidRPr="00B51ABE" w:rsidRDefault="006C62E6" w:rsidP="003040E1">
            <w:pPr>
              <w:jc w:val="center"/>
              <w:rPr>
                <w:rFonts w:asciiTheme="minorHAnsi" w:hAnsiTheme="minorHAnsi"/>
                <w:b/>
                <w:i/>
              </w:rPr>
            </w:pPr>
            <w:r w:rsidRPr="00B51ABE">
              <w:rPr>
                <w:rFonts w:asciiTheme="minorHAnsi" w:hAnsiTheme="minorHAnsi"/>
                <w:b/>
                <w:i/>
              </w:rPr>
              <w:t>Things I Want to Remember</w:t>
            </w:r>
          </w:p>
        </w:tc>
      </w:tr>
      <w:tr w:rsidR="006C62E6" w:rsidRPr="00B51ABE" w:rsidTr="003040E1">
        <w:tc>
          <w:tcPr>
            <w:tcW w:w="918" w:type="dxa"/>
          </w:tcPr>
          <w:p w:rsidR="006C62E6" w:rsidRDefault="001A4001" w:rsidP="003040E1">
            <w:pPr>
              <w:spacing w:line="360" w:lineRule="auto"/>
              <w:jc w:val="center"/>
              <w:rPr>
                <w:rFonts w:asciiTheme="minorHAnsi" w:hAnsiTheme="minorHAnsi"/>
              </w:rPr>
            </w:pPr>
            <w:r>
              <w:rPr>
                <w:rFonts w:asciiTheme="minorHAnsi" w:hAnsiTheme="minorHAnsi"/>
              </w:rPr>
              <w:t>65</w:t>
            </w:r>
          </w:p>
        </w:tc>
        <w:tc>
          <w:tcPr>
            <w:tcW w:w="4050" w:type="dxa"/>
          </w:tcPr>
          <w:p w:rsidR="006C62E6" w:rsidRPr="00B51ABE" w:rsidRDefault="008103D1" w:rsidP="003040E1">
            <w:pPr>
              <w:spacing w:line="360" w:lineRule="auto"/>
              <w:rPr>
                <w:rFonts w:asciiTheme="minorHAnsi" w:hAnsiTheme="minorHAnsi"/>
              </w:rPr>
            </w:pPr>
            <w:r>
              <w:rPr>
                <w:rFonts w:asciiTheme="minorHAnsi" w:hAnsiTheme="minorHAnsi"/>
              </w:rPr>
              <w:t xml:space="preserve">Choosing short text for comprehension instruction: </w:t>
            </w:r>
            <w:r w:rsidR="001A4001">
              <w:rPr>
                <w:rFonts w:asciiTheme="minorHAnsi" w:hAnsiTheme="minorHAnsi"/>
              </w:rPr>
              <w:t>Magazines, newspapers and web readings</w:t>
            </w:r>
          </w:p>
        </w:tc>
        <w:tc>
          <w:tcPr>
            <w:tcW w:w="4608" w:type="dxa"/>
          </w:tcPr>
          <w:p w:rsidR="006C62E6" w:rsidRPr="00801CD4" w:rsidRDefault="001A4001" w:rsidP="00A2698D">
            <w:pPr>
              <w:spacing w:line="360" w:lineRule="auto"/>
              <w:jc w:val="both"/>
              <w:rPr>
                <w:rFonts w:asciiTheme="minorHAnsi" w:hAnsiTheme="minorHAnsi"/>
              </w:rPr>
            </w:pPr>
            <w:r>
              <w:rPr>
                <w:rFonts w:asciiTheme="minorHAnsi" w:hAnsiTheme="minorHAnsi"/>
              </w:rPr>
              <w:t xml:space="preserve">I like how it points out that we needn’t pass up reading material from these sources simply because of where they’re from. So often – especially with the advent of the internet, we have </w:t>
            </w:r>
            <w:r w:rsidR="00091BB9">
              <w:rPr>
                <w:rFonts w:asciiTheme="minorHAnsi" w:hAnsiTheme="minorHAnsi"/>
              </w:rPr>
              <w:t>teachers</w:t>
            </w:r>
            <w:r>
              <w:rPr>
                <w:rFonts w:asciiTheme="minorHAnsi" w:hAnsiTheme="minorHAnsi"/>
              </w:rPr>
              <w:t xml:space="preserve"> telling students that the </w:t>
            </w:r>
            <w:r w:rsidR="00091BB9">
              <w:rPr>
                <w:rFonts w:asciiTheme="minorHAnsi" w:hAnsiTheme="minorHAnsi"/>
              </w:rPr>
              <w:t>only, or at least best, place to get good reading material is in a library book. Though those are excellent sources, as the text points out, there are excellent sources for short text material</w:t>
            </w:r>
            <w:r w:rsidR="00A2698D">
              <w:rPr>
                <w:rFonts w:asciiTheme="minorHAnsi" w:hAnsiTheme="minorHAnsi"/>
              </w:rPr>
              <w:t xml:space="preserve"> online and in newspapers.</w:t>
            </w:r>
          </w:p>
        </w:tc>
      </w:tr>
      <w:tr w:rsidR="00A2698D" w:rsidRPr="00B51ABE" w:rsidTr="003040E1">
        <w:tc>
          <w:tcPr>
            <w:tcW w:w="918" w:type="dxa"/>
          </w:tcPr>
          <w:p w:rsidR="00A2698D" w:rsidRDefault="007E1595" w:rsidP="003040E1">
            <w:pPr>
              <w:spacing w:line="360" w:lineRule="auto"/>
              <w:jc w:val="center"/>
              <w:rPr>
                <w:rFonts w:asciiTheme="minorHAnsi" w:hAnsiTheme="minorHAnsi"/>
              </w:rPr>
            </w:pPr>
            <w:r>
              <w:rPr>
                <w:rFonts w:asciiTheme="minorHAnsi" w:hAnsiTheme="minorHAnsi"/>
              </w:rPr>
              <w:t>71</w:t>
            </w:r>
          </w:p>
        </w:tc>
        <w:tc>
          <w:tcPr>
            <w:tcW w:w="4050" w:type="dxa"/>
          </w:tcPr>
          <w:p w:rsidR="00A2698D" w:rsidRDefault="007E1595" w:rsidP="003040E1">
            <w:pPr>
              <w:spacing w:line="360" w:lineRule="auto"/>
              <w:rPr>
                <w:rFonts w:asciiTheme="minorHAnsi" w:hAnsiTheme="minorHAnsi"/>
              </w:rPr>
            </w:pPr>
            <w:r>
              <w:rPr>
                <w:rFonts w:asciiTheme="minorHAnsi" w:hAnsiTheme="minorHAnsi"/>
              </w:rPr>
              <w:t>Children’s Choices: Helping Students Choose Text – Choosing books for Readability: Easy, Just Right and Challenge Books</w:t>
            </w:r>
          </w:p>
        </w:tc>
        <w:tc>
          <w:tcPr>
            <w:tcW w:w="4608" w:type="dxa"/>
          </w:tcPr>
          <w:p w:rsidR="00A2698D" w:rsidRDefault="00AB78E8" w:rsidP="00A2698D">
            <w:pPr>
              <w:spacing w:line="360" w:lineRule="auto"/>
              <w:jc w:val="both"/>
              <w:rPr>
                <w:rFonts w:asciiTheme="minorHAnsi" w:hAnsiTheme="minorHAnsi"/>
              </w:rPr>
            </w:pPr>
            <w:r>
              <w:rPr>
                <w:rFonts w:asciiTheme="minorHAnsi" w:hAnsiTheme="minorHAnsi"/>
              </w:rPr>
              <w:t xml:space="preserve">This made me wonder, and I’ll tell you why: we want kids to make advancements in their reading ability, but how long are they okay reading books at their independent reading level? How much should they read in their dependant reading </w:t>
            </w:r>
            <w:r w:rsidR="001171B7">
              <w:rPr>
                <w:rFonts w:asciiTheme="minorHAnsi" w:hAnsiTheme="minorHAnsi"/>
              </w:rPr>
              <w:t>level</w:t>
            </w:r>
            <w:r>
              <w:rPr>
                <w:rFonts w:asciiTheme="minorHAnsi" w:hAnsiTheme="minorHAnsi"/>
              </w:rPr>
              <w:t xml:space="preserve"> before that might be considered independent. And </w:t>
            </w:r>
            <w:r w:rsidR="001171B7">
              <w:rPr>
                <w:rFonts w:asciiTheme="minorHAnsi" w:hAnsiTheme="minorHAnsi"/>
              </w:rPr>
              <w:t>how much does it take for books at the student’s frustration reading level to become first dependant then independent reading level books?</w:t>
            </w:r>
          </w:p>
        </w:tc>
      </w:tr>
    </w:tbl>
    <w:p w:rsidR="005500B5" w:rsidRDefault="005500B5"/>
    <w:sectPr w:rsidR="005500B5" w:rsidSect="005500B5">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302C" w:rsidRDefault="0084302C" w:rsidP="001171B7">
      <w:r>
        <w:separator/>
      </w:r>
    </w:p>
  </w:endnote>
  <w:endnote w:type="continuationSeparator" w:id="1">
    <w:p w:rsidR="0084302C" w:rsidRDefault="0084302C" w:rsidP="001171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urora BdCn BT">
    <w:panose1 w:val="020B0706020207050204"/>
    <w:charset w:val="00"/>
    <w:family w:val="swiss"/>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C58" w:rsidRPr="00260E41" w:rsidRDefault="0084302C" w:rsidP="00480C58">
    <w:pPr>
      <w:pBdr>
        <w:top w:val="single" w:sz="4" w:space="1" w:color="auto"/>
      </w:pBdr>
      <w:rPr>
        <w:i/>
        <w:sz w:val="16"/>
      </w:rPr>
    </w:pPr>
    <w:r w:rsidRPr="00260E41">
      <w:rPr>
        <w:i/>
        <w:sz w:val="16"/>
      </w:rPr>
      <w:t>All references are made to the following text:</w:t>
    </w:r>
  </w:p>
  <w:p w:rsidR="00480C58" w:rsidRDefault="0084302C" w:rsidP="00480C58">
    <w:pPr>
      <w:pBdr>
        <w:top w:val="single" w:sz="4" w:space="1" w:color="auto"/>
      </w:pBdr>
      <w:ind w:firstLine="720"/>
      <w:rPr>
        <w:sz w:val="16"/>
      </w:rPr>
    </w:pPr>
    <w:r>
      <w:rPr>
        <w:sz w:val="16"/>
      </w:rPr>
      <w:t>Strategies That Work: Teaching Comprehension for Understanding and Engagement: Second Edition</w:t>
    </w:r>
  </w:p>
  <w:p w:rsidR="00480C58" w:rsidRPr="00480C58" w:rsidRDefault="0084302C" w:rsidP="00480C58">
    <w:pPr>
      <w:pBdr>
        <w:top w:val="single" w:sz="4" w:space="1" w:color="auto"/>
      </w:pBdr>
      <w:ind w:firstLine="720"/>
      <w:rPr>
        <w:sz w:val="16"/>
      </w:rPr>
    </w:pPr>
    <w:r>
      <w:rPr>
        <w:sz w:val="16"/>
      </w:rPr>
      <w:t xml:space="preserve">Harvey, Stephanie and Anne </w:t>
    </w:r>
    <w:r>
      <w:rPr>
        <w:sz w:val="16"/>
      </w:rPr>
      <w:t>Goudvis © 2007 by Harvey &amp; Goudvis ● Stennhouse Publishers ● 312 Pages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302C" w:rsidRDefault="0084302C" w:rsidP="001171B7">
      <w:r>
        <w:separator/>
      </w:r>
    </w:p>
  </w:footnote>
  <w:footnote w:type="continuationSeparator" w:id="1">
    <w:p w:rsidR="0084302C" w:rsidRDefault="0084302C" w:rsidP="001171B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3E12" w:rsidRPr="00B51ABE" w:rsidRDefault="0084302C" w:rsidP="00993E12">
    <w:pPr>
      <w:ind w:left="720"/>
      <w:rPr>
        <w:rFonts w:asciiTheme="minorHAnsi" w:hAnsiTheme="minorHAnsi"/>
        <w:b/>
        <w:sz w:val="28"/>
      </w:rPr>
    </w:pPr>
    <w:r w:rsidRPr="00B51ABE">
      <w:rPr>
        <w:rFonts w:asciiTheme="minorHAnsi" w:hAnsiTheme="minorHAnsi"/>
        <w:b/>
        <w:noProof/>
        <w:sz w:val="28"/>
      </w:rPr>
      <w:drawing>
        <wp:anchor distT="0" distB="0" distL="114300" distR="114300" simplePos="0" relativeHeight="251659264" behindDoc="0" locked="0" layoutInCell="1" allowOverlap="1">
          <wp:simplePos x="0" y="0"/>
          <wp:positionH relativeFrom="column">
            <wp:posOffset>-22160</wp:posOffset>
          </wp:positionH>
          <wp:positionV relativeFrom="paragraph">
            <wp:posOffset>0</wp:posOffset>
          </wp:positionV>
          <wp:extent cx="546035" cy="1009650"/>
          <wp:effectExtent l="171450" t="133350" r="368365" b="304800"/>
          <wp:wrapNone/>
          <wp:docPr id="2" name="Picture 0" descr="ryan 006c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yan 006c3.jpg"/>
                  <pic:cNvPicPr/>
                </pic:nvPicPr>
                <pic:blipFill>
                  <a:blip r:embed="rId1"/>
                  <a:stretch>
                    <a:fillRect/>
                  </a:stretch>
                </pic:blipFill>
                <pic:spPr>
                  <a:xfrm>
                    <a:off x="0" y="0"/>
                    <a:ext cx="546035" cy="1009650"/>
                  </a:xfrm>
                  <a:prstGeom prst="rect">
                    <a:avLst/>
                  </a:prstGeom>
                  <a:ln>
                    <a:noFill/>
                  </a:ln>
                  <a:effectLst>
                    <a:outerShdw blurRad="292100" dist="139700" dir="2700000" algn="tl" rotWithShape="0">
                      <a:srgbClr val="333333">
                        <a:alpha val="65000"/>
                      </a:srgbClr>
                    </a:outerShdw>
                  </a:effectLst>
                </pic:spPr>
              </pic:pic>
            </a:graphicData>
          </a:graphic>
        </wp:anchor>
      </w:drawing>
    </w:r>
    <w:r w:rsidRPr="00B51ABE">
      <w:rPr>
        <w:rFonts w:asciiTheme="minorHAnsi" w:hAnsiTheme="minorHAnsi"/>
        <w:b/>
        <w:sz w:val="28"/>
      </w:rPr>
      <w:t xml:space="preserve">   Mr. Ryan Lavine</w:t>
    </w:r>
  </w:p>
  <w:p w:rsidR="00B51ABE" w:rsidRPr="00B51ABE" w:rsidRDefault="0084302C" w:rsidP="00B51ABE">
    <w:pPr>
      <w:rPr>
        <w:rFonts w:asciiTheme="minorHAnsi" w:hAnsiTheme="minorHAnsi"/>
      </w:rPr>
    </w:pPr>
    <w:r w:rsidRPr="00B51ABE">
      <w:rPr>
        <w:rFonts w:asciiTheme="minorHAnsi" w:hAnsiTheme="minorHAnsi"/>
      </w:rPr>
      <w:t xml:space="preserve">   EDUC </w:t>
    </w:r>
    <w:r>
      <w:rPr>
        <w:rFonts w:asciiTheme="minorHAnsi" w:hAnsiTheme="minorHAnsi"/>
      </w:rPr>
      <w:t xml:space="preserve">  </w:t>
    </w:r>
    <w:r w:rsidRPr="00B51ABE">
      <w:rPr>
        <w:rFonts w:asciiTheme="minorHAnsi" w:hAnsiTheme="minorHAnsi"/>
      </w:rPr>
      <w:t xml:space="preserve">410 – Student </w:t>
    </w:r>
    <w:r w:rsidRPr="00B51ABE">
      <w:rPr>
        <w:rFonts w:asciiTheme="minorHAnsi" w:hAnsiTheme="minorHAnsi"/>
      </w:rPr>
      <w:t>Centered Reading Programs</w:t>
    </w:r>
  </w:p>
  <w:p w:rsidR="00993E12" w:rsidRPr="00B51ABE" w:rsidRDefault="0084302C" w:rsidP="00B51ABE">
    <w:pPr>
      <w:ind w:firstLine="720"/>
      <w:rPr>
        <w:rFonts w:asciiTheme="minorHAnsi" w:hAnsiTheme="minorHAnsi"/>
      </w:rPr>
    </w:pPr>
    <w:r w:rsidRPr="00B51ABE">
      <w:rPr>
        <w:rFonts w:asciiTheme="minorHAnsi" w:hAnsiTheme="minorHAnsi"/>
      </w:rPr>
      <w:t xml:space="preserve">   </w:t>
    </w:r>
    <w:r w:rsidRPr="00B51ABE">
      <w:rPr>
        <w:rFonts w:asciiTheme="minorHAnsi" w:hAnsiTheme="minorHAnsi"/>
      </w:rPr>
      <w:t>Dr. Darcy Bradley</w:t>
    </w:r>
  </w:p>
  <w:p w:rsidR="00993E12" w:rsidRPr="00B51ABE" w:rsidRDefault="0084302C" w:rsidP="00993E12">
    <w:pPr>
      <w:ind w:firstLine="720"/>
      <w:rPr>
        <w:rFonts w:asciiTheme="minorHAnsi" w:hAnsiTheme="minorHAnsi"/>
      </w:rPr>
    </w:pPr>
    <w:r w:rsidRPr="00B51ABE">
      <w:rPr>
        <w:rFonts w:asciiTheme="minorHAnsi" w:hAnsiTheme="minorHAnsi"/>
      </w:rPr>
      <w:t xml:space="preserve">   Fall 2008</w:t>
    </w:r>
  </w:p>
  <w:p w:rsidR="00993E12" w:rsidRPr="00B51ABE" w:rsidRDefault="0084302C" w:rsidP="00993E12">
    <w:pPr>
      <w:pBdr>
        <w:bottom w:val="single" w:sz="4" w:space="1" w:color="auto"/>
      </w:pBdr>
      <w:ind w:firstLine="720"/>
      <w:rPr>
        <w:rFonts w:asciiTheme="minorHAnsi" w:hAnsiTheme="minorHAnsi"/>
      </w:rPr>
    </w:pPr>
    <w:r w:rsidRPr="00B51ABE">
      <w:rPr>
        <w:rFonts w:asciiTheme="minorHAnsi" w:hAnsiTheme="minorHAnsi"/>
      </w:rPr>
      <w:t xml:space="preserve">   </w:t>
    </w:r>
    <w:r w:rsidRPr="00B51ABE">
      <w:rPr>
        <w:rFonts w:asciiTheme="minorHAnsi" w:hAnsiTheme="minorHAnsi"/>
      </w:rPr>
      <w:t>Chapter Reflection</w:t>
    </w:r>
    <w:r>
      <w:rPr>
        <w:rFonts w:asciiTheme="minorHAnsi" w:hAnsiTheme="minorHAnsi"/>
      </w:rPr>
      <w:t>s</w:t>
    </w:r>
  </w:p>
  <w:p w:rsidR="00DD4619" w:rsidRDefault="0084302C" w:rsidP="00DD4619"/>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8"/>
  <w:defaultTabStop w:val="720"/>
  <w:characterSpacingControl w:val="doNotCompress"/>
  <w:footnotePr>
    <w:footnote w:id="0"/>
    <w:footnote w:id="1"/>
  </w:footnotePr>
  <w:endnotePr>
    <w:endnote w:id="0"/>
    <w:endnote w:id="1"/>
  </w:endnotePr>
  <w:compat/>
  <w:rsids>
    <w:rsidRoot w:val="006C62E6"/>
    <w:rsid w:val="00091BB9"/>
    <w:rsid w:val="001171B7"/>
    <w:rsid w:val="001A4001"/>
    <w:rsid w:val="003F0BD2"/>
    <w:rsid w:val="005500B5"/>
    <w:rsid w:val="006C62E6"/>
    <w:rsid w:val="007E1595"/>
    <w:rsid w:val="008103D1"/>
    <w:rsid w:val="0084302C"/>
    <w:rsid w:val="009725CA"/>
    <w:rsid w:val="00A2698D"/>
    <w:rsid w:val="00AB78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2E6"/>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62E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C62E6"/>
    <w:pPr>
      <w:tabs>
        <w:tab w:val="center" w:pos="4680"/>
        <w:tab w:val="right" w:pos="9360"/>
      </w:tabs>
    </w:pPr>
  </w:style>
  <w:style w:type="character" w:customStyle="1" w:styleId="HeaderChar">
    <w:name w:val="Header Char"/>
    <w:basedOn w:val="DefaultParagraphFont"/>
    <w:link w:val="Header"/>
    <w:uiPriority w:val="99"/>
    <w:semiHidden/>
    <w:rsid w:val="006C62E6"/>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1171B7"/>
    <w:pPr>
      <w:tabs>
        <w:tab w:val="center" w:pos="4680"/>
        <w:tab w:val="right" w:pos="9360"/>
      </w:tabs>
    </w:pPr>
  </w:style>
  <w:style w:type="character" w:customStyle="1" w:styleId="FooterChar">
    <w:name w:val="Footer Char"/>
    <w:basedOn w:val="DefaultParagraphFont"/>
    <w:link w:val="Footer"/>
    <w:uiPriority w:val="99"/>
    <w:semiHidden/>
    <w:rsid w:val="001171B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186</Words>
  <Characters>1062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Ryan Lavine</dc:creator>
  <cp:lastModifiedBy>Mr. Ryan Lavine</cp:lastModifiedBy>
  <cp:revision>3</cp:revision>
  <dcterms:created xsi:type="dcterms:W3CDTF">2008-10-20T00:51:00Z</dcterms:created>
  <dcterms:modified xsi:type="dcterms:W3CDTF">2008-10-20T01:50:00Z</dcterms:modified>
</cp:coreProperties>
</file>